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5B16C">
      <w:pPr>
        <w:wordWrap w:val="0"/>
        <w:spacing w:line="440" w:lineRule="atLeast"/>
        <w:jc w:val="center"/>
        <w:textAlignment w:val="baseline"/>
        <w:rPr>
          <w:rFonts w:hint="default" w:ascii="Times New Roman" w:hAnsi="Times New Roman" w:cs="Times New Roman"/>
          <w:sz w:val="44"/>
          <w:szCs w:val="44"/>
        </w:rPr>
      </w:pPr>
      <w:r>
        <w:rPr>
          <w:rFonts w:hint="default" w:ascii="Times New Roman" w:hAnsi="Times New Roman" w:cs="Times New Roman"/>
          <w:color w:val="000000"/>
          <w:sz w:val="44"/>
          <w:szCs w:val="44"/>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12065000</wp:posOffset>
            </wp:positionV>
            <wp:extent cx="279400" cy="2667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279400" cy="266700"/>
                    </a:xfrm>
                    <a:prstGeom prst="rect">
                      <a:avLst/>
                    </a:prstGeom>
                  </pic:spPr>
                </pic:pic>
              </a:graphicData>
            </a:graphic>
          </wp:anchor>
        </w:drawing>
      </w:r>
      <w:r>
        <w:rPr>
          <w:rFonts w:hint="default" w:ascii="Times New Roman" w:hAnsi="Times New Roman" w:cs="Times New Roman"/>
          <w:color w:val="000000"/>
          <w:sz w:val="44"/>
          <w:szCs w:val="44"/>
        </w:rPr>
        <w:t>2024—2025 学年(下)安徽高三3月调研考试</w:t>
      </w:r>
    </w:p>
    <w:p w14:paraId="42146B94">
      <w:pPr>
        <w:wordWrap w:val="0"/>
        <w:spacing w:line="660" w:lineRule="exact"/>
        <w:jc w:val="center"/>
        <w:textAlignment w:val="baseline"/>
        <w:rPr>
          <w:rFonts w:hint="default" w:ascii="Times New Roman" w:hAnsi="Times New Roman" w:cs="Times New Roman"/>
          <w:sz w:val="52"/>
          <w:szCs w:val="20"/>
        </w:rPr>
      </w:pPr>
    </w:p>
    <w:p w14:paraId="246FE39C">
      <w:pPr>
        <w:wordWrap w:val="0"/>
        <w:spacing w:line="780" w:lineRule="atLeast"/>
        <w:jc w:val="center"/>
        <w:textAlignment w:val="baseline"/>
        <w:rPr>
          <w:rFonts w:hint="default" w:ascii="Times New Roman" w:hAnsi="Times New Roman" w:cs="Times New Roman"/>
          <w:sz w:val="52"/>
          <w:szCs w:val="20"/>
        </w:rPr>
      </w:pPr>
      <w:r>
        <w:rPr>
          <w:rFonts w:hint="default" w:ascii="Times New Roman" w:hAnsi="Times New Roman" w:cs="Times New Roman"/>
          <w:color w:val="000000"/>
          <w:sz w:val="52"/>
          <w:szCs w:val="20"/>
        </w:rPr>
        <w:t>历 史</w:t>
      </w:r>
    </w:p>
    <w:p w14:paraId="737B9F27">
      <w:pPr>
        <w:wordWrap w:val="0"/>
        <w:spacing w:line="460" w:lineRule="exact"/>
        <w:textAlignment w:val="baseline"/>
        <w:rPr>
          <w:rFonts w:hint="default" w:ascii="Times New Roman" w:hAnsi="Times New Roman" w:cs="Times New Roman"/>
          <w:szCs w:val="20"/>
        </w:rPr>
      </w:pPr>
    </w:p>
    <w:p w14:paraId="68957FF2">
      <w:pPr>
        <w:wordWrap w:val="0"/>
        <w:spacing w:line="440" w:lineRule="atLeast"/>
        <w:ind w:left="20"/>
        <w:textAlignment w:val="baseline"/>
        <w:rPr>
          <w:rFonts w:hint="default" w:ascii="Times New Roman" w:hAnsi="Times New Roman" w:cs="Times New Roman"/>
          <w:szCs w:val="20"/>
        </w:rPr>
      </w:pPr>
      <w:r>
        <w:rPr>
          <w:rFonts w:hint="default" w:ascii="Times New Roman" w:hAnsi="Times New Roman" w:cs="Times New Roman"/>
          <w:color w:val="000000"/>
          <w:szCs w:val="20"/>
        </w:rPr>
        <w:t>考生注意：</w:t>
      </w:r>
    </w:p>
    <w:p w14:paraId="4A5A4C97">
      <w:pPr>
        <w:wordWrap w:val="0"/>
        <w:spacing w:line="440" w:lineRule="atLeast"/>
        <w:ind w:left="780" w:right="60" w:hanging="240"/>
        <w:textAlignment w:val="baseline"/>
        <w:rPr>
          <w:rFonts w:hint="default" w:ascii="Times New Roman" w:hAnsi="Times New Roman" w:cs="Times New Roman"/>
          <w:szCs w:val="20"/>
        </w:rPr>
      </w:pPr>
      <w:r>
        <w:rPr>
          <w:rFonts w:hint="default" w:ascii="Times New Roman" w:hAnsi="Times New Roman" w:cs="Times New Roman"/>
          <w:color w:val="000000"/>
          <w:szCs w:val="20"/>
        </w:rPr>
        <w:t>1.答题前，考生务必将自己的姓名、考生号填写在试卷和答题卡上，并将考生号条形码贴在答题卡上的指定位置。</w:t>
      </w:r>
    </w:p>
    <w:p w14:paraId="0539295B">
      <w:pPr>
        <w:wordWrap w:val="0"/>
        <w:spacing w:line="440" w:lineRule="atLeast"/>
        <w:ind w:left="780" w:right="20" w:hanging="240"/>
        <w:textAlignment w:val="baseline"/>
        <w:rPr>
          <w:rFonts w:hint="default" w:ascii="Times New Roman" w:hAnsi="Times New Roman" w:cs="Times New Roman"/>
          <w:szCs w:val="20"/>
        </w:rPr>
      </w:pPr>
      <w:r>
        <w:rPr>
          <w:rFonts w:hint="default" w:ascii="Times New Roman" w:hAnsi="Times New Roman" w:cs="Times New Roman"/>
          <w:color w:val="000000"/>
          <w:szCs w:val="20"/>
        </w:rPr>
        <w:t>2.回答选择题时，选出每小题答案后，用铅笔把答题卡对应题目的答案标号涂黑。女改动，用橡皮擦干净后，再选涂其他答案标号。回答非选择题时，将答案写在答题上。写在本试卷上无效。</w:t>
      </w:r>
    </w:p>
    <w:p w14:paraId="7CF43C21">
      <w:pPr>
        <w:wordWrap w:val="0"/>
        <w:spacing w:line="440" w:lineRule="atLeast"/>
        <w:ind w:left="540"/>
        <w:textAlignment w:val="baseline"/>
        <w:rPr>
          <w:rFonts w:hint="default" w:ascii="Times New Roman" w:hAnsi="Times New Roman" w:cs="Times New Roman"/>
          <w:szCs w:val="20"/>
        </w:rPr>
      </w:pPr>
      <w:r>
        <w:rPr>
          <w:rFonts w:hint="default" w:ascii="Times New Roman" w:hAnsi="Times New Roman" w:cs="Times New Roman"/>
          <w:color w:val="000000"/>
          <w:szCs w:val="20"/>
        </w:rPr>
        <w:t>3.考试结束后，将本试卷和答题卡一并交回。</w:t>
      </w:r>
    </w:p>
    <w:p w14:paraId="40B3C768">
      <w:pPr>
        <w:wordWrap w:val="0"/>
        <w:spacing w:before="240" w:line="440" w:lineRule="atLeast"/>
        <w:ind w:left="380" w:hanging="360"/>
        <w:textAlignment w:val="baseline"/>
        <w:rPr>
          <w:rFonts w:hint="default" w:ascii="Times New Roman" w:hAnsi="Times New Roman" w:cs="Times New Roman"/>
          <w:szCs w:val="20"/>
        </w:rPr>
      </w:pPr>
      <w:r>
        <w:rPr>
          <w:rFonts w:hint="default" w:ascii="Times New Roman" w:hAnsi="Times New Roman" w:cs="Times New Roman"/>
          <w:color w:val="000000"/>
          <w:szCs w:val="20"/>
        </w:rPr>
        <w:t>一、选择题：本题共16小题，每小题3分，共48分。在每小题给出的四个选项中，只有一项符合题目要求的。</w:t>
      </w:r>
    </w:p>
    <w:p w14:paraId="4BF5BFB7">
      <w:pPr>
        <w:wordWrap w:val="0"/>
        <w:spacing w:line="440" w:lineRule="atLeast"/>
        <w:ind w:left="200" w:right="60" w:hanging="180"/>
        <w:textAlignment w:val="baseline"/>
        <w:rPr>
          <w:rFonts w:hint="default" w:ascii="Times New Roman" w:hAnsi="Times New Roman" w:cs="Times New Roman"/>
          <w:szCs w:val="20"/>
        </w:rPr>
      </w:pPr>
      <w:r>
        <w:rPr>
          <w:rFonts w:hint="default" w:ascii="Times New Roman" w:hAnsi="Times New Roman" w:cs="Times New Roman"/>
          <w:color w:val="000000"/>
          <w:szCs w:val="20"/>
        </w:rPr>
        <w:t>1.图1为学者绘制的某考古遗址文化层示意图。文化层，专指由于古代人类的活动而残留来的遗迹、遗物和有机物所形成的堆积层。同一文化层包含的遗迹和遗物，往往反映-时期或一种文化的独特面貌。图1 反映了</w:t>
      </w:r>
    </w:p>
    <w:p w14:paraId="39D20052">
      <w:pPr>
        <w:wordWrap w:val="0"/>
        <w:spacing w:line="0" w:lineRule="atLeast"/>
        <w:jc w:val="center"/>
        <w:textAlignment w:val="baseline"/>
        <w:rPr>
          <w:rFonts w:hint="default" w:ascii="Times New Roman" w:hAnsi="Times New Roman" w:cs="Times New Roman"/>
          <w:sz w:val="18"/>
          <w:szCs w:val="20"/>
        </w:rPr>
        <w:sectPr>
          <w:pgSz w:w="11900" w:h="16820"/>
          <w:pgMar w:top="700" w:right="880" w:bottom="700" w:left="880" w:header="720" w:footer="720" w:gutter="0"/>
          <w:cols w:space="720" w:num="1"/>
        </w:sectPr>
      </w:pPr>
      <w:r>
        <w:rPr>
          <w:rFonts w:hint="default" w:ascii="Times New Roman" w:hAnsi="Times New Roman" w:cs="Times New Roman"/>
          <w:sz w:val="18"/>
          <w:szCs w:val="20"/>
        </w:rPr>
        <w:drawing>
          <wp:inline distT="0" distB="0" distL="0" distR="0">
            <wp:extent cx="4305300" cy="4254500"/>
            <wp:effectExtent l="0" t="0" r="0" b="0"/>
            <wp:docPr id="2" name="Draw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2"/>
                    <pic:cNvPicPr>
                      <a:picLocks noChangeAspect="1"/>
                    </pic:cNvPicPr>
                  </pic:nvPicPr>
                  <pic:blipFill>
                    <a:blip r:embed="rId7"/>
                    <a:stretch>
                      <a:fillRect/>
                    </a:stretch>
                  </pic:blipFill>
                  <pic:spPr>
                    <a:xfrm>
                      <a:off x="0" y="0"/>
                      <a:ext cx="4305300" cy="4254500"/>
                    </a:xfrm>
                    <a:prstGeom prst="rect">
                      <a:avLst/>
                    </a:prstGeom>
                  </pic:spPr>
                </pic:pic>
              </a:graphicData>
            </a:graphic>
          </wp:inline>
        </w:drawing>
      </w:r>
    </w:p>
    <w:p w14:paraId="06E09748">
      <w:pPr>
        <w:wordWrap w:val="0"/>
        <w:spacing w:line="420" w:lineRule="atLeast"/>
        <w:ind w:left="220"/>
        <w:textAlignment w:val="baseline"/>
        <w:rPr>
          <w:rFonts w:hint="default" w:ascii="Times New Roman" w:hAnsi="Times New Roman" w:cs="Times New Roman"/>
          <w:szCs w:val="20"/>
        </w:rPr>
      </w:pPr>
      <w:r>
        <w:rPr>
          <w:rFonts w:hint="default" w:ascii="Times New Roman" w:hAnsi="Times New Roman" w:cs="Times New Roman"/>
          <w:color w:val="000000"/>
          <w:szCs w:val="20"/>
        </w:rPr>
        <w:t>A.中国拥有五千年的文明史               B.中华文明具有突出的连续性</w:t>
      </w:r>
    </w:p>
    <w:p w14:paraId="7118667E">
      <w:pPr>
        <w:wordWrap w:val="0"/>
        <w:spacing w:line="420" w:lineRule="atLeast"/>
        <w:ind w:left="220"/>
        <w:textAlignment w:val="baseline"/>
        <w:rPr>
          <w:rFonts w:hint="default" w:ascii="Times New Roman" w:hAnsi="Times New Roman" w:cs="Times New Roman"/>
          <w:szCs w:val="20"/>
        </w:rPr>
      </w:pPr>
      <w:r>
        <w:rPr>
          <w:rFonts w:hint="default" w:ascii="Times New Roman" w:hAnsi="Times New Roman" w:cs="Times New Roman"/>
          <w:color w:val="000000"/>
          <w:szCs w:val="20"/>
        </w:rPr>
        <w:t>C.中华文明起源具有多元性               D.中华文化历史悠久博大精深</w:t>
      </w:r>
    </w:p>
    <w:p w14:paraId="5020D899">
      <w:pPr>
        <w:wordWrap w:val="0"/>
        <w:spacing w:line="420" w:lineRule="atLeast"/>
        <w:ind w:left="240" w:hanging="220"/>
        <w:textAlignment w:val="baseline"/>
        <w:rPr>
          <w:rFonts w:hint="default" w:ascii="Times New Roman" w:hAnsi="Times New Roman" w:cs="Times New Roman"/>
          <w:szCs w:val="20"/>
        </w:rPr>
      </w:pPr>
      <w:r>
        <w:rPr>
          <w:rFonts w:hint="default" w:ascii="Times New Roman" w:hAnsi="Times New Roman" w:cs="Times New Roman"/>
          <w:color w:val="000000"/>
          <w:szCs w:val="20"/>
        </w:rPr>
        <w:t>2.秦朝官吏分为两类：一类由无爵者或民爵者担任，由长官任命，职事属于“役”，其身份本质上为“民”；另一类由有官爵者担任，经由君主任命，是真正意义上的官吏。这可说明当时</w:t>
      </w:r>
    </w:p>
    <w:p w14:paraId="172243EB">
      <w:pPr>
        <w:wordWrap w:val="0"/>
        <w:spacing w:line="420" w:lineRule="atLeast"/>
        <w:ind w:left="220"/>
        <w:textAlignment w:val="baseline"/>
        <w:rPr>
          <w:rFonts w:hint="default" w:ascii="Times New Roman" w:hAnsi="Times New Roman" w:cs="Times New Roman"/>
          <w:szCs w:val="20"/>
        </w:rPr>
      </w:pPr>
      <w:r>
        <w:rPr>
          <w:rFonts w:hint="default" w:ascii="Times New Roman" w:hAnsi="Times New Roman" w:cs="Times New Roman"/>
          <w:color w:val="000000"/>
          <w:szCs w:val="20"/>
        </w:rPr>
        <w:t>A.社会流动的加快                       B.统一国家的巩固</w:t>
      </w:r>
    </w:p>
    <w:p w14:paraId="18945C26">
      <w:pPr>
        <w:wordWrap w:val="0"/>
        <w:spacing w:line="420" w:lineRule="atLeast"/>
        <w:ind w:left="220"/>
        <w:textAlignment w:val="baseline"/>
        <w:rPr>
          <w:rFonts w:hint="default" w:ascii="Times New Roman" w:hAnsi="Times New Roman" w:cs="Times New Roman"/>
          <w:szCs w:val="20"/>
        </w:rPr>
      </w:pPr>
      <w:r>
        <w:rPr>
          <w:rFonts w:hint="default" w:ascii="Times New Roman" w:hAnsi="Times New Roman" w:cs="Times New Roman"/>
          <w:color w:val="000000"/>
          <w:szCs w:val="20"/>
        </w:rPr>
        <w:t>C.中央集权的出现                       D.军功爵制的变化</w:t>
      </w:r>
    </w:p>
    <w:p w14:paraId="0E9FE61D">
      <w:pPr>
        <w:wordWrap w:val="0"/>
        <w:spacing w:line="420" w:lineRule="atLeast"/>
        <w:ind w:left="240" w:hanging="220"/>
        <w:textAlignment w:val="baseline"/>
        <w:rPr>
          <w:rFonts w:hint="default" w:ascii="Times New Roman" w:hAnsi="Times New Roman" w:cs="Times New Roman"/>
          <w:szCs w:val="20"/>
        </w:rPr>
      </w:pPr>
      <w:r>
        <w:rPr>
          <w:rFonts w:hint="default" w:ascii="Times New Roman" w:hAnsi="Times New Roman" w:cs="Times New Roman"/>
          <w:color w:val="000000"/>
          <w:szCs w:val="20"/>
        </w:rPr>
        <w:t>3.汉律存在着“律令不分、礼律杂糅”的问题。魏明帝时制成魏律18篇，将刑法条文内容尽数纳入其中。晋武帝时又制定了《泰始律》20篇，由此使“律”的内容集中于刑律，行政制度的内容另行置于“令”，即《晋令》40卷中。这一变化说明魏晋时期</w:t>
      </w:r>
    </w:p>
    <w:p w14:paraId="274BA4E1">
      <w:pPr>
        <w:wordWrap w:val="0"/>
        <w:spacing w:line="420" w:lineRule="atLeast"/>
        <w:ind w:left="220"/>
        <w:textAlignment w:val="baseline"/>
        <w:rPr>
          <w:rFonts w:hint="default" w:ascii="Times New Roman" w:hAnsi="Times New Roman" w:cs="Times New Roman"/>
          <w:szCs w:val="20"/>
        </w:rPr>
      </w:pPr>
      <w:r>
        <w:rPr>
          <w:rFonts w:hint="default" w:ascii="Times New Roman" w:hAnsi="Times New Roman" w:cs="Times New Roman"/>
          <w:color w:val="000000"/>
          <w:szCs w:val="20"/>
        </w:rPr>
        <w:t>A.儒家思想融入法律                     B.刑法条文完善细致</w:t>
      </w:r>
    </w:p>
    <w:p w14:paraId="1C010403">
      <w:pPr>
        <w:wordWrap w:val="0"/>
        <w:spacing w:line="420" w:lineRule="atLeast"/>
        <w:ind w:left="220"/>
        <w:textAlignment w:val="baseline"/>
        <w:rPr>
          <w:rFonts w:hint="default" w:ascii="Times New Roman" w:hAnsi="Times New Roman" w:cs="Times New Roman"/>
          <w:szCs w:val="20"/>
        </w:rPr>
      </w:pPr>
      <w:r>
        <w:rPr>
          <w:rFonts w:hint="default" w:ascii="Times New Roman" w:hAnsi="Times New Roman" w:cs="Times New Roman"/>
          <w:color w:val="000000"/>
          <w:szCs w:val="20"/>
        </w:rPr>
        <w:t>C.法律制度更加规范                     D.政治秩序较为稳定</w:t>
      </w:r>
    </w:p>
    <w:p w14:paraId="6E03AA5F">
      <w:pPr>
        <w:wordWrap w:val="0"/>
        <w:spacing w:line="420" w:lineRule="atLeast"/>
        <w:ind w:left="240" w:right="40" w:hanging="220"/>
        <w:textAlignment w:val="baseline"/>
        <w:rPr>
          <w:rFonts w:hint="default" w:ascii="Times New Roman" w:hAnsi="Times New Roman" w:cs="Times New Roman"/>
          <w:szCs w:val="20"/>
        </w:rPr>
      </w:pPr>
      <w:r>
        <w:rPr>
          <w:rFonts w:hint="default" w:ascii="Times New Roman" w:hAnsi="Times New Roman" w:cs="Times New Roman"/>
          <w:color w:val="000000"/>
          <w:szCs w:val="20"/>
        </w:rPr>
        <w:t>4.元朝初年，朝廷反复探查长江口至海河口的海上航道。太仓刘家港“旧本墟落，居民鲜少”，但“不浚自深……朝夕两汧可容万斛之舟”，被选为海港。此后，刘家港“翦荆榛，立第宅，招徕蕃舶，屯聚粮艘，不数年间，凑集成市”。由此可见，刘家港的兴起得益于</w:t>
      </w:r>
    </w:p>
    <w:p w14:paraId="1DAC0310">
      <w:pPr>
        <w:wordWrap w:val="0"/>
        <w:spacing w:line="420" w:lineRule="atLeast"/>
        <w:ind w:left="220"/>
        <w:textAlignment w:val="baseline"/>
        <w:rPr>
          <w:rFonts w:hint="default" w:ascii="Times New Roman" w:hAnsi="Times New Roman" w:cs="Times New Roman"/>
          <w:szCs w:val="20"/>
        </w:rPr>
      </w:pPr>
      <w:r>
        <w:rPr>
          <w:rFonts w:hint="default" w:ascii="Times New Roman" w:hAnsi="Times New Roman" w:cs="Times New Roman"/>
          <w:color w:val="000000"/>
          <w:szCs w:val="20"/>
        </w:rPr>
        <w:t>A.朝廷海运漕粮的需要                   B.传统运河路线的变化</w:t>
      </w:r>
    </w:p>
    <w:p w14:paraId="6AFE3CB9">
      <w:pPr>
        <w:wordWrap w:val="0"/>
        <w:spacing w:line="420" w:lineRule="atLeast"/>
        <w:ind w:left="220"/>
        <w:textAlignment w:val="baseline"/>
        <w:rPr>
          <w:rFonts w:hint="default" w:ascii="Times New Roman" w:hAnsi="Times New Roman" w:cs="Times New Roman"/>
          <w:szCs w:val="20"/>
        </w:rPr>
      </w:pPr>
      <w:r>
        <w:rPr>
          <w:rFonts w:hint="default" w:ascii="Times New Roman" w:hAnsi="Times New Roman" w:cs="Times New Roman"/>
          <w:color w:val="000000"/>
          <w:szCs w:val="20"/>
        </w:rPr>
        <w:t>C.海上丝绸之路的开通                   D.太仓地区人口的增长</w:t>
      </w:r>
    </w:p>
    <w:p w14:paraId="366C8316">
      <w:pPr>
        <w:wordWrap w:val="0"/>
        <w:spacing w:line="420" w:lineRule="atLeast"/>
        <w:ind w:left="240" w:right="60" w:hanging="220"/>
        <w:textAlignment w:val="baseline"/>
        <w:rPr>
          <w:rFonts w:hint="default" w:ascii="Times New Roman" w:hAnsi="Times New Roman" w:cs="Times New Roman"/>
          <w:szCs w:val="20"/>
        </w:rPr>
      </w:pPr>
      <w:r>
        <w:rPr>
          <w:rFonts w:hint="default" w:ascii="Times New Roman" w:hAnsi="Times New Roman" w:cs="Times New Roman"/>
          <w:color w:val="000000"/>
          <w:szCs w:val="20"/>
        </w:rPr>
        <w:t>5.“摆字龙灯”是清代皇家在陵寝前祭祀祖先的仪式舞蹈。其龙灯形态由龙灯、引龙人和绣球组成。龙灯为主体，主要通过段龙摆字的方式拼出祝福语。引龙人是与龙灯形成互动关系的引逗者。绣球是介于龙灯和引龙人之间的关联道具。据此可知，“摆字龙灯”</w:t>
      </w:r>
    </w:p>
    <w:p w14:paraId="7BEDC2D2">
      <w:pPr>
        <w:wordWrap w:val="0"/>
        <w:spacing w:line="420" w:lineRule="atLeast"/>
        <w:ind w:left="220"/>
        <w:textAlignment w:val="baseline"/>
        <w:rPr>
          <w:rFonts w:hint="default" w:ascii="Times New Roman" w:hAnsi="Times New Roman" w:cs="Times New Roman"/>
          <w:szCs w:val="20"/>
        </w:rPr>
      </w:pPr>
      <w:r>
        <w:rPr>
          <w:rFonts w:hint="default" w:ascii="Times New Roman" w:hAnsi="Times New Roman" w:cs="Times New Roman"/>
          <w:color w:val="000000"/>
          <w:szCs w:val="20"/>
        </w:rPr>
        <w:t>A.体现了满汉民族文化的交融             B.适应了市民阶层的审美需要</w:t>
      </w:r>
    </w:p>
    <w:p w14:paraId="6B57FEB4">
      <w:pPr>
        <w:wordWrap w:val="0"/>
        <w:spacing w:line="420" w:lineRule="atLeast"/>
        <w:ind w:left="220"/>
        <w:textAlignment w:val="baseline"/>
        <w:rPr>
          <w:rFonts w:hint="default" w:ascii="Times New Roman" w:hAnsi="Times New Roman" w:cs="Times New Roman"/>
          <w:szCs w:val="20"/>
        </w:rPr>
      </w:pPr>
      <w:r>
        <w:rPr>
          <w:rFonts w:hint="default" w:ascii="Times New Roman" w:hAnsi="Times New Roman" w:cs="Times New Roman"/>
          <w:color w:val="000000"/>
          <w:szCs w:val="20"/>
        </w:rPr>
        <w:t>C.反映了森严的社会等级制度             D.推动了民间艺术的创新发展</w:t>
      </w:r>
    </w:p>
    <w:p w14:paraId="29D32884">
      <w:pPr>
        <w:wordWrap w:val="0"/>
        <w:spacing w:line="420" w:lineRule="atLeast"/>
        <w:ind w:left="240" w:right="80" w:hanging="220"/>
        <w:textAlignment w:val="baseline"/>
        <w:rPr>
          <w:rFonts w:hint="default" w:ascii="Times New Roman" w:hAnsi="Times New Roman" w:cs="Times New Roman"/>
          <w:szCs w:val="20"/>
        </w:rPr>
      </w:pPr>
      <w:r>
        <w:rPr>
          <w:rFonts w:hint="default" w:ascii="Times New Roman" w:hAnsi="Times New Roman" w:cs="Times New Roman"/>
          <w:color w:val="000000"/>
          <w:szCs w:val="20"/>
        </w:rPr>
        <w:t>6.图2为《神州画报》于1909 年12月刊载的漫画《铁路之扩张》。图中倒地官员鼻孔出气，口喷鲜血。该漫画意在说明</w:t>
      </w:r>
    </w:p>
    <w:p w14:paraId="24C623CD">
      <w:pPr>
        <w:wordWrap w:val="0"/>
        <w:spacing w:line="0" w:lineRule="atLeast"/>
        <w:jc w:val="center"/>
        <w:textAlignment w:val="baseline"/>
        <w:rPr>
          <w:rFonts w:hint="default" w:ascii="Times New Roman" w:hAnsi="Times New Roman" w:cs="Times New Roman"/>
          <w:sz w:val="18"/>
          <w:szCs w:val="20"/>
        </w:rPr>
      </w:pPr>
      <w:r>
        <w:rPr>
          <w:rFonts w:hint="default" w:ascii="Times New Roman" w:hAnsi="Times New Roman" w:cs="Times New Roman"/>
          <w:sz w:val="18"/>
          <w:szCs w:val="20"/>
        </w:rPr>
        <w:drawing>
          <wp:inline distT="0" distB="0" distL="0" distR="0">
            <wp:extent cx="1270000" cy="1955800"/>
            <wp:effectExtent l="0" t="0" r="0" b="0"/>
            <wp:docPr id="4" name="Draw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 4"/>
                    <pic:cNvPicPr>
                      <a:picLocks noChangeAspect="1"/>
                    </pic:cNvPicPr>
                  </pic:nvPicPr>
                  <pic:blipFill>
                    <a:blip r:embed="rId8"/>
                    <a:stretch>
                      <a:fillRect/>
                    </a:stretch>
                  </pic:blipFill>
                  <pic:spPr>
                    <a:xfrm>
                      <a:off x="0" y="0"/>
                      <a:ext cx="1270000" cy="1955800"/>
                    </a:xfrm>
                    <a:prstGeom prst="rect">
                      <a:avLst/>
                    </a:prstGeom>
                  </pic:spPr>
                </pic:pic>
              </a:graphicData>
            </a:graphic>
          </wp:inline>
        </w:drawing>
      </w:r>
    </w:p>
    <w:p w14:paraId="60582CC3">
      <w:pPr>
        <w:wordWrap w:val="0"/>
        <w:spacing w:line="420" w:lineRule="atLeast"/>
        <w:ind w:left="220"/>
        <w:textAlignment w:val="baseline"/>
        <w:rPr>
          <w:rFonts w:hint="default" w:ascii="Times New Roman" w:hAnsi="Times New Roman" w:cs="Times New Roman"/>
          <w:szCs w:val="20"/>
        </w:rPr>
      </w:pPr>
      <w:r>
        <w:rPr>
          <w:rFonts w:hint="default" w:ascii="Times New Roman" w:hAnsi="Times New Roman" w:cs="Times New Roman"/>
          <w:color w:val="000000"/>
          <w:szCs w:val="20"/>
        </w:rPr>
        <w:t>A.清廷无意抵制列强资本输出             B.保路运动声势浩大助推革命</w:t>
      </w:r>
    </w:p>
    <w:p w14:paraId="5FD1C5BD">
      <w:pPr>
        <w:wordWrap w:val="0"/>
        <w:spacing w:line="420" w:lineRule="atLeast"/>
        <w:ind w:left="220"/>
        <w:textAlignment w:val="baseline"/>
        <w:rPr>
          <w:rFonts w:hint="default" w:ascii="Times New Roman" w:hAnsi="Times New Roman" w:cs="Times New Roman"/>
          <w:szCs w:val="20"/>
        </w:rPr>
        <w:sectPr>
          <w:pgSz w:w="11900" w:h="16820"/>
          <w:pgMar w:top="700" w:right="1220" w:bottom="700" w:left="1220" w:header="720" w:footer="720" w:gutter="0"/>
          <w:cols w:space="720" w:num="1"/>
        </w:sectPr>
      </w:pPr>
      <w:r>
        <w:rPr>
          <w:rFonts w:hint="default" w:ascii="Times New Roman" w:hAnsi="Times New Roman" w:cs="Times New Roman"/>
          <w:color w:val="000000"/>
          <w:szCs w:val="20"/>
        </w:rPr>
        <w:t>C.列强争抢路权意在瓜分中国             D.清廷腐败无能难以维护路权</w:t>
      </w:r>
    </w:p>
    <w:p w14:paraId="4D2A9458">
      <w:pPr>
        <w:wordWrap w:val="0"/>
        <w:spacing w:line="500" w:lineRule="atLeast"/>
        <w:ind w:left="240" w:right="260" w:hanging="220"/>
        <w:textAlignment w:val="baseline"/>
        <w:rPr>
          <w:rFonts w:hint="default" w:ascii="Times New Roman" w:hAnsi="Times New Roman" w:cs="Times New Roman"/>
          <w:szCs w:val="20"/>
        </w:rPr>
      </w:pPr>
      <w:r>
        <w:rPr>
          <w:rFonts w:hint="default" w:ascii="Times New Roman" w:hAnsi="Times New Roman" w:cs="Times New Roman"/>
          <w:color w:val="000000"/>
          <w:szCs w:val="20"/>
        </w:rPr>
        <w:t>7.有学者通过考察《新青年》发展演变的足迹，勾勒出《新青年》办刊地址线路图：《新青年》编辑部从上海起步(1915年9月)，然后迁至北京(1917年2月)、上海(1920年上半年)、广州(1921年4月),最后又返沪(1921年9月)至粤(1922年7月),历经五次辗转迁移。这一历程可用以说明</w:t>
      </w:r>
    </w:p>
    <w:p w14:paraId="7589CCE8">
      <w:pPr>
        <w:wordWrap w:val="0"/>
        <w:spacing w:line="500" w:lineRule="atLeast"/>
        <w:ind w:left="300"/>
        <w:textAlignment w:val="baseline"/>
        <w:rPr>
          <w:rFonts w:hint="default" w:ascii="Times New Roman" w:hAnsi="Times New Roman" w:cs="Times New Roman"/>
          <w:szCs w:val="20"/>
        </w:rPr>
      </w:pPr>
      <w:r>
        <w:rPr>
          <w:rFonts w:hint="default" w:ascii="Times New Roman" w:hAnsi="Times New Roman" w:cs="Times New Roman"/>
          <w:color w:val="000000"/>
          <w:szCs w:val="20"/>
        </w:rPr>
        <w:t>A.中国政治局势不断变化                 B.资产阶级坚持救亡图存</w:t>
      </w:r>
    </w:p>
    <w:p w14:paraId="4286D16C">
      <w:pPr>
        <w:wordWrap w:val="0"/>
        <w:spacing w:line="500" w:lineRule="atLeast"/>
        <w:ind w:left="300"/>
        <w:textAlignment w:val="baseline"/>
        <w:rPr>
          <w:rFonts w:hint="default" w:ascii="Times New Roman" w:hAnsi="Times New Roman" w:cs="Times New Roman"/>
          <w:szCs w:val="20"/>
        </w:rPr>
      </w:pPr>
      <w:r>
        <w:rPr>
          <w:rFonts w:hint="default" w:ascii="Times New Roman" w:hAnsi="Times New Roman" w:cs="Times New Roman"/>
          <w:color w:val="000000"/>
          <w:szCs w:val="20"/>
        </w:rPr>
        <w:t>C.时人崇尚民主科学思想                 D.西学东渐影响日益深入</w:t>
      </w:r>
    </w:p>
    <w:p w14:paraId="491D00DD">
      <w:pPr>
        <w:wordWrap w:val="0"/>
        <w:spacing w:line="500" w:lineRule="atLeast"/>
        <w:ind w:left="240" w:right="140" w:hanging="220"/>
        <w:textAlignment w:val="baseline"/>
        <w:rPr>
          <w:rFonts w:hint="default" w:ascii="Times New Roman" w:hAnsi="Times New Roman" w:cs="Times New Roman"/>
          <w:szCs w:val="20"/>
        </w:rPr>
      </w:pPr>
      <w:r>
        <w:rPr>
          <w:rFonts w:hint="default" w:ascii="Times New Roman" w:hAnsi="Times New Roman" w:cs="Times New Roman"/>
          <w:color w:val="000000"/>
          <w:szCs w:val="20"/>
        </w:rPr>
        <w:t>8.1950年1月 19 日，“相声改进小组”在北京正式建立。该小组组织研究和学习相声史，进行时事教育，扩大相声表演的地域范围，力求将相声从一门地方性、区域性艺术改造为全国性、民族性的艺术，甚至还承担了成立“识字班”的任务。这些举措</w:t>
      </w:r>
    </w:p>
    <w:p w14:paraId="78B6F5F3">
      <w:pPr>
        <w:wordWrap w:val="0"/>
        <w:spacing w:line="500" w:lineRule="atLeast"/>
        <w:ind w:left="300"/>
        <w:textAlignment w:val="baseline"/>
        <w:rPr>
          <w:rFonts w:hint="default" w:ascii="Times New Roman" w:hAnsi="Times New Roman" w:cs="Times New Roman"/>
          <w:szCs w:val="20"/>
        </w:rPr>
      </w:pPr>
      <w:r>
        <w:rPr>
          <w:rFonts w:hint="default" w:ascii="Times New Roman" w:hAnsi="Times New Roman" w:cs="Times New Roman"/>
          <w:color w:val="000000"/>
          <w:szCs w:val="20"/>
        </w:rPr>
        <w:t>A.是落实“双百”方针的体现              B.旨在传播中华优秀传统文化</w:t>
      </w:r>
    </w:p>
    <w:p w14:paraId="1E06590D">
      <w:pPr>
        <w:wordWrap w:val="0"/>
        <w:spacing w:line="500" w:lineRule="atLeast"/>
        <w:ind w:left="300"/>
        <w:textAlignment w:val="baseline"/>
        <w:rPr>
          <w:rFonts w:hint="default" w:ascii="Times New Roman" w:hAnsi="Times New Roman" w:cs="Times New Roman"/>
          <w:szCs w:val="20"/>
        </w:rPr>
      </w:pPr>
      <w:r>
        <w:rPr>
          <w:rFonts w:hint="default" w:ascii="Times New Roman" w:hAnsi="Times New Roman" w:cs="Times New Roman"/>
          <w:color w:val="000000"/>
          <w:szCs w:val="20"/>
        </w:rPr>
        <w:t>C.表明相声是舆论宣传主阵地             D.有利于巩固新生的人民政权</w:t>
      </w:r>
    </w:p>
    <w:p w14:paraId="7492FF3E">
      <w:pPr>
        <w:wordWrap w:val="0"/>
        <w:spacing w:line="500" w:lineRule="atLeast"/>
        <w:ind w:left="20"/>
        <w:textAlignment w:val="baseline"/>
        <w:rPr>
          <w:rFonts w:hint="default" w:ascii="Times New Roman" w:hAnsi="Times New Roman" w:cs="Times New Roman"/>
          <w:szCs w:val="20"/>
        </w:rPr>
      </w:pPr>
      <w:r>
        <w:rPr>
          <w:rFonts w:hint="default" w:ascii="Times New Roman" w:hAnsi="Times New Roman" w:cs="Times New Roman"/>
          <w:color w:val="000000"/>
          <w:szCs w:val="20"/>
        </w:rPr>
        <w:t>9.表1是第5届至第8届中华人民共和国全国运动会的主题口号。据此可知，这一时期</w:t>
      </w:r>
    </w:p>
    <w:p w14:paraId="4656DE37">
      <w:pPr>
        <w:wordWrap w:val="0"/>
        <w:spacing w:line="420" w:lineRule="atLeast"/>
        <w:ind w:left="4480"/>
        <w:textAlignment w:val="baseline"/>
        <w:rPr>
          <w:rFonts w:hint="default" w:ascii="Times New Roman" w:hAnsi="Times New Roman" w:cs="Times New Roman"/>
          <w:sz w:val="24"/>
          <w:szCs w:val="20"/>
        </w:rPr>
      </w:pPr>
      <w:r>
        <w:rPr>
          <w:rFonts w:hint="default" w:ascii="Times New Roman" w:hAnsi="Times New Roman" w:cs="Times New Roman"/>
          <w:color w:val="000000"/>
          <w:sz w:val="24"/>
          <w:szCs w:val="20"/>
        </w:rPr>
        <w:t>表1</w:t>
      </w:r>
    </w:p>
    <w:p w14:paraId="7567D9AD">
      <w:pPr>
        <w:wordWrap w:val="0"/>
        <w:spacing w:line="500" w:lineRule="atLeast"/>
        <w:ind w:left="300"/>
        <w:textAlignment w:val="baseline"/>
        <w:rPr>
          <w:rFonts w:hint="default" w:ascii="Times New Roman" w:hAnsi="Times New Roman" w:cs="Times New Roman"/>
          <w:color w:val="000000"/>
          <w:szCs w:val="20"/>
        </w:rPr>
      </w:pPr>
      <w:r>
        <w:rPr>
          <w:rFonts w:hint="default" w:ascii="Times New Roman" w:hAnsi="Times New Roman" w:cs="Times New Roman"/>
        </w:rPr>
        <w:drawing>
          <wp:inline distT="0" distB="0" distL="0" distR="0">
            <wp:extent cx="4253865" cy="15081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258162" cy="1509866"/>
                    </a:xfrm>
                    <a:prstGeom prst="rect">
                      <a:avLst/>
                    </a:prstGeom>
                  </pic:spPr>
                </pic:pic>
              </a:graphicData>
            </a:graphic>
          </wp:inline>
        </w:drawing>
      </w:r>
    </w:p>
    <w:p w14:paraId="074BF6F9">
      <w:pPr>
        <w:wordWrap w:val="0"/>
        <w:spacing w:line="500" w:lineRule="atLeast"/>
        <w:ind w:left="300"/>
        <w:textAlignment w:val="baseline"/>
        <w:rPr>
          <w:rFonts w:hint="default" w:ascii="Times New Roman" w:hAnsi="Times New Roman" w:cs="Times New Roman"/>
          <w:szCs w:val="20"/>
        </w:rPr>
      </w:pPr>
      <w:r>
        <w:rPr>
          <w:rFonts w:hint="default" w:ascii="Times New Roman" w:hAnsi="Times New Roman" w:cs="Times New Roman"/>
          <w:color w:val="000000"/>
          <w:szCs w:val="20"/>
        </w:rPr>
        <w:t>A.群众性体育事业发展较迅速             B.体育竞技的政治性日益增强</w:t>
      </w:r>
    </w:p>
    <w:p w14:paraId="084E5127">
      <w:pPr>
        <w:wordWrap w:val="0"/>
        <w:spacing w:line="500" w:lineRule="atLeast"/>
        <w:ind w:left="300"/>
        <w:textAlignment w:val="baseline"/>
        <w:rPr>
          <w:rFonts w:hint="default" w:ascii="Times New Roman" w:hAnsi="Times New Roman" w:cs="Times New Roman"/>
          <w:szCs w:val="20"/>
        </w:rPr>
      </w:pPr>
      <w:r>
        <w:rPr>
          <w:rFonts w:hint="default" w:ascii="Times New Roman" w:hAnsi="Times New Roman" w:cs="Times New Roman"/>
          <w:color w:val="000000"/>
          <w:szCs w:val="20"/>
        </w:rPr>
        <w:t>C.体育事业发展承载民族形象             D.体育强国战略得到有效实施</w:t>
      </w:r>
    </w:p>
    <w:p w14:paraId="3F8BFC77">
      <w:pPr>
        <w:wordWrap w:val="0"/>
        <w:spacing w:line="500" w:lineRule="atLeast"/>
        <w:ind w:left="240" w:hanging="220"/>
        <w:textAlignment w:val="baseline"/>
        <w:rPr>
          <w:rFonts w:hint="default" w:ascii="Times New Roman" w:hAnsi="Times New Roman" w:cs="Times New Roman"/>
          <w:szCs w:val="20"/>
        </w:rPr>
      </w:pPr>
      <w:r>
        <w:rPr>
          <w:rFonts w:hint="default" w:ascii="Times New Roman" w:hAnsi="Times New Roman" w:cs="Times New Roman"/>
          <w:color w:val="000000"/>
          <w:szCs w:val="20"/>
        </w:rPr>
        <w:t>10.《2024年全球创新指数报告》显示，中国全球创新力排名第11 位，“创新产出”和“创新投入”分别排在第7位和第23 位，是排名前30位的经济体中唯一的中等收入经济体，也是10年来创新力上升最快的经济体之一。这说明中国</w:t>
      </w:r>
    </w:p>
    <w:p w14:paraId="78613D04">
      <w:pPr>
        <w:wordWrap w:val="0"/>
        <w:spacing w:line="500" w:lineRule="atLeast"/>
        <w:ind w:left="300"/>
        <w:textAlignment w:val="baseline"/>
        <w:rPr>
          <w:rFonts w:hint="default" w:ascii="Times New Roman" w:hAnsi="Times New Roman" w:cs="Times New Roman"/>
          <w:szCs w:val="20"/>
        </w:rPr>
      </w:pPr>
      <w:r>
        <w:rPr>
          <w:rFonts w:hint="default" w:ascii="Times New Roman" w:hAnsi="Times New Roman" w:cs="Times New Roman"/>
          <w:color w:val="000000"/>
          <w:szCs w:val="20"/>
        </w:rPr>
        <w:t>A.科技创新能力领先全球                 B.制度优势推动创新发展</w:t>
      </w:r>
    </w:p>
    <w:p w14:paraId="456EAFD9">
      <w:pPr>
        <w:wordWrap w:val="0"/>
        <w:spacing w:line="500" w:lineRule="atLeast"/>
        <w:ind w:left="300"/>
        <w:textAlignment w:val="baseline"/>
        <w:rPr>
          <w:rFonts w:hint="default" w:ascii="Times New Roman" w:hAnsi="Times New Roman" w:cs="Times New Roman"/>
          <w:szCs w:val="20"/>
        </w:rPr>
      </w:pPr>
      <w:r>
        <w:rPr>
          <w:rFonts w:hint="default" w:ascii="Times New Roman" w:hAnsi="Times New Roman" w:cs="Times New Roman"/>
          <w:color w:val="000000"/>
          <w:szCs w:val="20"/>
        </w:rPr>
        <w:t>C.创新投入规模日益扩大                 D.人民共享科技创新成果</w:t>
      </w:r>
    </w:p>
    <w:p w14:paraId="425CF92A">
      <w:pPr>
        <w:wordWrap w:val="0"/>
        <w:spacing w:line="500" w:lineRule="atLeast"/>
        <w:ind w:left="320" w:right="40" w:hanging="300"/>
        <w:textAlignment w:val="baseline"/>
        <w:rPr>
          <w:rFonts w:hint="default" w:ascii="Times New Roman" w:hAnsi="Times New Roman" w:cs="Times New Roman"/>
          <w:szCs w:val="20"/>
        </w:rPr>
      </w:pPr>
      <w:r>
        <w:rPr>
          <w:rFonts w:hint="default" w:ascii="Times New Roman" w:hAnsi="Times New Roman" w:cs="Times New Roman"/>
          <w:color w:val="000000"/>
          <w:szCs w:val="20"/>
        </w:rPr>
        <w:t>11.起初，西班牙在拉丁美洲殖民地实行分派劳役制，把印第安人分别编在征服者名下，迫使他们为征服者耕种土地、采矿和服劳役。1503年，西班牙开始推行委托监护制，规定委托监护主不拥有土地所有权，所有权属于西班牙国王，委托监护主只对受其监护的印第安人进行“监护”。这一变化说明西班牙</w:t>
      </w:r>
    </w:p>
    <w:p w14:paraId="03CF983A">
      <w:pPr>
        <w:wordWrap w:val="0"/>
        <w:spacing w:line="500" w:lineRule="atLeast"/>
        <w:ind w:left="300"/>
        <w:textAlignment w:val="baseline"/>
        <w:rPr>
          <w:rFonts w:hint="default" w:ascii="Times New Roman" w:hAnsi="Times New Roman" w:cs="Times New Roman"/>
          <w:szCs w:val="20"/>
        </w:rPr>
      </w:pPr>
      <w:r>
        <w:rPr>
          <w:rFonts w:hint="default" w:ascii="Times New Roman" w:hAnsi="Times New Roman" w:cs="Times New Roman"/>
          <w:color w:val="000000"/>
          <w:szCs w:val="20"/>
        </w:rPr>
        <w:t>A.对拉美殖民地的控制趋于松弛          B.主动改善印第安人生存条件</w:t>
      </w:r>
    </w:p>
    <w:p w14:paraId="507B1401">
      <w:pPr>
        <w:wordWrap w:val="0"/>
        <w:spacing w:line="500" w:lineRule="atLeast"/>
        <w:ind w:left="300"/>
        <w:textAlignment w:val="baseline"/>
        <w:rPr>
          <w:rFonts w:hint="default" w:ascii="Times New Roman" w:hAnsi="Times New Roman" w:cs="Times New Roman"/>
          <w:szCs w:val="20"/>
        </w:rPr>
        <w:sectPr>
          <w:pgSz w:w="11900" w:h="16820"/>
          <w:pgMar w:top="700" w:right="1320" w:bottom="700" w:left="1320" w:header="720" w:footer="720" w:gutter="0"/>
          <w:cols w:space="720" w:num="1"/>
        </w:sectPr>
      </w:pPr>
      <w:r>
        <w:rPr>
          <w:rFonts w:hint="default" w:ascii="Times New Roman" w:hAnsi="Times New Roman" w:cs="Times New Roman"/>
          <w:color w:val="000000"/>
          <w:szCs w:val="20"/>
        </w:rPr>
        <w:t>C.意图增加王室在殖民中的收益           D.与土著白人的矛盾日益激化</w:t>
      </w:r>
    </w:p>
    <w:p w14:paraId="495FA83C">
      <w:pPr>
        <w:wordWrap w:val="0"/>
        <w:spacing w:line="480" w:lineRule="atLeast"/>
        <w:ind w:left="400" w:right="20" w:hanging="38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12.14 世纪，书房开始出现在法国和意大利的建筑里，此后日益流行。书房中收藏着各类书籍、古文物、仿古艺术品等。15世纪时，有人描述道：“集结一系列如此众多的宝石和非凡美丽与丰富的物件……将能够定期给自己带来愉悦，偶尔也能给他人带来乐趣。”据此可知，当时书房</w:t>
      </w:r>
    </w:p>
    <w:p w14:paraId="75C5F104">
      <w:pPr>
        <w:wordWrap w:val="0"/>
        <w:spacing w:line="480" w:lineRule="atLeast"/>
        <w:ind w:left="42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A.主要用于展示商人的财富              B.使社会风气日益腐化堕落</w:t>
      </w:r>
    </w:p>
    <w:p w14:paraId="45BC23E2">
      <w:pPr>
        <w:wordWrap w:val="0"/>
        <w:spacing w:line="480" w:lineRule="atLeast"/>
        <w:ind w:left="42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C.寄托着人文主义者的追求              D.表明时人对理性极度推崇</w:t>
      </w:r>
    </w:p>
    <w:p w14:paraId="5DB971A3">
      <w:pPr>
        <w:wordWrap w:val="0"/>
        <w:spacing w:line="480" w:lineRule="atLeast"/>
        <w:ind w:left="360" w:hanging="34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13.1917年7月，印度总督蔡姆斯福德勋爵致函英国政府，他宣称印度局势告急，任何进一步的敷衍搪塞都将造成毁灭性的后果。印度事务大臣埃德温·蒙塔古也随即发表宣言，许诺要增加印度人在政府各部门中的比例。这主要是因为</w:t>
      </w:r>
    </w:p>
    <w:p w14:paraId="2E496091">
      <w:pPr>
        <w:wordWrap w:val="0"/>
        <w:spacing w:line="480" w:lineRule="atLeast"/>
        <w:ind w:left="42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A.英国忙于欧战无暇顾及印度            B.非暴力不合作运动成效显著</w:t>
      </w:r>
    </w:p>
    <w:p w14:paraId="500A7929">
      <w:pPr>
        <w:wordWrap w:val="0"/>
        <w:spacing w:line="480" w:lineRule="atLeast"/>
        <w:ind w:left="42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C.印度对英帝国的重要性下降            D.印度人民民族意识日益觉醒</w:t>
      </w:r>
    </w:p>
    <w:p w14:paraId="3CD6F59B">
      <w:pPr>
        <w:wordWrap w:val="0"/>
        <w:spacing w:line="480" w:lineRule="atLeast"/>
        <w:ind w:left="2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14.表2为1921—1924年苏俄(联)主要农作物产量变化。表2中信息说明</w:t>
      </w:r>
    </w:p>
    <w:p w14:paraId="1D9921BD">
      <w:pPr>
        <w:wordWrap w:val="0"/>
        <w:spacing w:line="480" w:lineRule="atLeast"/>
        <w:jc w:val="center"/>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表2</w:t>
      </w:r>
    </w:p>
    <w:tbl>
      <w:tblPr>
        <w:tblStyle w:val="4"/>
        <w:tblW w:w="0" w:type="auto"/>
        <w:tblInd w:w="238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040"/>
        <w:gridCol w:w="1060"/>
        <w:gridCol w:w="1060"/>
        <w:gridCol w:w="1060"/>
        <w:gridCol w:w="1300"/>
      </w:tblGrid>
      <w:tr w14:paraId="7B5112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1040" w:type="dxa"/>
            <w:vAlign w:val="center"/>
          </w:tcPr>
          <w:p w14:paraId="16B00EC1">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年份</w:t>
            </w:r>
          </w:p>
        </w:tc>
        <w:tc>
          <w:tcPr>
            <w:tcW w:w="1060" w:type="dxa"/>
            <w:vAlign w:val="center"/>
          </w:tcPr>
          <w:p w14:paraId="7B32B356">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谷物</w:t>
            </w:r>
          </w:p>
        </w:tc>
        <w:tc>
          <w:tcPr>
            <w:tcW w:w="1060" w:type="dxa"/>
            <w:vAlign w:val="center"/>
          </w:tcPr>
          <w:p w14:paraId="6316F768">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马铃薯</w:t>
            </w:r>
          </w:p>
        </w:tc>
        <w:tc>
          <w:tcPr>
            <w:tcW w:w="1060" w:type="dxa"/>
            <w:vAlign w:val="center"/>
          </w:tcPr>
          <w:p w14:paraId="031E32B7">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牲畜</w:t>
            </w:r>
          </w:p>
        </w:tc>
        <w:tc>
          <w:tcPr>
            <w:tcW w:w="1300" w:type="dxa"/>
            <w:vAlign w:val="center"/>
          </w:tcPr>
          <w:p w14:paraId="388C5978">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经济作物</w:t>
            </w:r>
          </w:p>
        </w:tc>
      </w:tr>
      <w:tr w14:paraId="0E0110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00" w:hRule="atLeast"/>
        </w:trPr>
        <w:tc>
          <w:tcPr>
            <w:tcW w:w="1040" w:type="dxa"/>
            <w:vAlign w:val="center"/>
          </w:tcPr>
          <w:p w14:paraId="704F359B">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1921 年</w:t>
            </w:r>
          </w:p>
        </w:tc>
        <w:tc>
          <w:tcPr>
            <w:tcW w:w="1060" w:type="dxa"/>
            <w:vAlign w:val="center"/>
          </w:tcPr>
          <w:p w14:paraId="29C867BB">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31</w:t>
            </w:r>
          </w:p>
        </w:tc>
        <w:tc>
          <w:tcPr>
            <w:tcW w:w="1060" w:type="dxa"/>
            <w:vAlign w:val="center"/>
          </w:tcPr>
          <w:p w14:paraId="0840447B">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83</w:t>
            </w:r>
          </w:p>
        </w:tc>
        <w:tc>
          <w:tcPr>
            <w:tcW w:w="1060" w:type="dxa"/>
            <w:vAlign w:val="center"/>
          </w:tcPr>
          <w:p w14:paraId="248FEA78">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59</w:t>
            </w:r>
          </w:p>
        </w:tc>
        <w:tc>
          <w:tcPr>
            <w:tcW w:w="1300" w:type="dxa"/>
            <w:vAlign w:val="center"/>
          </w:tcPr>
          <w:p w14:paraId="4022B185">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23</w:t>
            </w:r>
          </w:p>
        </w:tc>
      </w:tr>
      <w:tr w14:paraId="7ECB4F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00" w:hRule="atLeast"/>
        </w:trPr>
        <w:tc>
          <w:tcPr>
            <w:tcW w:w="1040" w:type="dxa"/>
            <w:vAlign w:val="center"/>
          </w:tcPr>
          <w:p w14:paraId="59E05959">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1922 年</w:t>
            </w:r>
          </w:p>
        </w:tc>
        <w:tc>
          <w:tcPr>
            <w:tcW w:w="1060" w:type="dxa"/>
            <w:vAlign w:val="center"/>
          </w:tcPr>
          <w:p w14:paraId="0ED0A22C">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53</w:t>
            </w:r>
          </w:p>
        </w:tc>
        <w:tc>
          <w:tcPr>
            <w:tcW w:w="1060" w:type="dxa"/>
            <w:vAlign w:val="center"/>
          </w:tcPr>
          <w:p w14:paraId="74EA289B">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89</w:t>
            </w:r>
          </w:p>
        </w:tc>
        <w:tc>
          <w:tcPr>
            <w:tcW w:w="1060" w:type="dxa"/>
            <w:vAlign w:val="center"/>
          </w:tcPr>
          <w:p w14:paraId="5624AC1B">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46</w:t>
            </w:r>
          </w:p>
        </w:tc>
        <w:tc>
          <w:tcPr>
            <w:tcW w:w="1300" w:type="dxa"/>
            <w:vAlign w:val="center"/>
          </w:tcPr>
          <w:p w14:paraId="57EB73EE">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33</w:t>
            </w:r>
          </w:p>
        </w:tc>
      </w:tr>
      <w:tr w14:paraId="2DF312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1040" w:type="dxa"/>
            <w:vAlign w:val="center"/>
          </w:tcPr>
          <w:p w14:paraId="58B2B388">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1923 年</w:t>
            </w:r>
          </w:p>
        </w:tc>
        <w:tc>
          <w:tcPr>
            <w:tcW w:w="1060" w:type="dxa"/>
            <w:vAlign w:val="center"/>
          </w:tcPr>
          <w:p w14:paraId="5A9E4564">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52</w:t>
            </w:r>
          </w:p>
        </w:tc>
        <w:tc>
          <w:tcPr>
            <w:tcW w:w="1060" w:type="dxa"/>
            <w:vAlign w:val="center"/>
          </w:tcPr>
          <w:p w14:paraId="04D8F721">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129</w:t>
            </w:r>
          </w:p>
        </w:tc>
        <w:tc>
          <w:tcPr>
            <w:tcW w:w="1060" w:type="dxa"/>
            <w:vAlign w:val="center"/>
          </w:tcPr>
          <w:p w14:paraId="128D72C0">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55</w:t>
            </w:r>
          </w:p>
        </w:tc>
        <w:tc>
          <w:tcPr>
            <w:tcW w:w="1300" w:type="dxa"/>
            <w:vAlign w:val="center"/>
          </w:tcPr>
          <w:p w14:paraId="5777E758">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46</w:t>
            </w:r>
          </w:p>
        </w:tc>
      </w:tr>
      <w:tr w14:paraId="69CFB1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0" w:hRule="atLeast"/>
        </w:trPr>
        <w:tc>
          <w:tcPr>
            <w:tcW w:w="1040" w:type="dxa"/>
            <w:vAlign w:val="center"/>
          </w:tcPr>
          <w:p w14:paraId="611E8766">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1924年</w:t>
            </w:r>
          </w:p>
        </w:tc>
        <w:tc>
          <w:tcPr>
            <w:tcW w:w="1060" w:type="dxa"/>
            <w:vAlign w:val="center"/>
          </w:tcPr>
          <w:p w14:paraId="6B3D36E2">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58</w:t>
            </w:r>
          </w:p>
        </w:tc>
        <w:tc>
          <w:tcPr>
            <w:tcW w:w="1060" w:type="dxa"/>
            <w:vAlign w:val="center"/>
          </w:tcPr>
          <w:p w14:paraId="266F6C59">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141</w:t>
            </w:r>
          </w:p>
        </w:tc>
        <w:tc>
          <w:tcPr>
            <w:tcW w:w="1060" w:type="dxa"/>
            <w:vAlign w:val="center"/>
          </w:tcPr>
          <w:p w14:paraId="1B9C49B5">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89</w:t>
            </w:r>
          </w:p>
        </w:tc>
        <w:tc>
          <w:tcPr>
            <w:tcW w:w="1300" w:type="dxa"/>
            <w:vAlign w:val="center"/>
          </w:tcPr>
          <w:p w14:paraId="55C46125">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97</w:t>
            </w:r>
          </w:p>
        </w:tc>
      </w:tr>
    </w:tbl>
    <w:p w14:paraId="5FE19B2F">
      <w:pPr>
        <w:wordWrap w:val="0"/>
        <w:spacing w:line="480" w:lineRule="atLeast"/>
        <w:ind w:left="42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注:以1913年产量为100</w:t>
      </w:r>
    </w:p>
    <w:p w14:paraId="6D0B54E1">
      <w:pPr>
        <w:wordWrap w:val="0"/>
        <w:spacing w:line="480" w:lineRule="atLeast"/>
        <w:ind w:left="42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A.苏联农业已经恢复至历史最高水平      B.战时共产主义政策造成了严重危机</w:t>
      </w:r>
    </w:p>
    <w:p w14:paraId="66C430C6">
      <w:pPr>
        <w:wordWrap w:val="0"/>
        <w:spacing w:line="480" w:lineRule="atLeast"/>
        <w:ind w:left="42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C.新经济政策有利于巩固苏维埃政权      D.苏联国民经济比例渐趋于均衡合理</w:t>
      </w:r>
    </w:p>
    <w:p w14:paraId="0F9011A5">
      <w:pPr>
        <w:wordWrap w:val="0"/>
        <w:spacing w:line="480" w:lineRule="atLeast"/>
        <w:ind w:left="2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15.表3是西方不同学派对冷战爆发原因的认识演变。综合表3中信息，可知</w:t>
      </w:r>
    </w:p>
    <w:p w14:paraId="2501A822">
      <w:pPr>
        <w:wordWrap w:val="0"/>
        <w:spacing w:line="480" w:lineRule="atLeast"/>
        <w:jc w:val="center"/>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表3</w:t>
      </w:r>
    </w:p>
    <w:tbl>
      <w:tblPr>
        <w:tblStyle w:val="4"/>
        <w:tblW w:w="0" w:type="auto"/>
        <w:tblInd w:w="158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100"/>
        <w:gridCol w:w="1720"/>
        <w:gridCol w:w="4300"/>
      </w:tblGrid>
      <w:tr w14:paraId="439E61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trPr>
        <w:tc>
          <w:tcPr>
            <w:tcW w:w="1100" w:type="dxa"/>
            <w:vAlign w:val="center"/>
          </w:tcPr>
          <w:p w14:paraId="4B9BD4E0">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学派</w:t>
            </w:r>
          </w:p>
        </w:tc>
        <w:tc>
          <w:tcPr>
            <w:tcW w:w="1720" w:type="dxa"/>
            <w:vAlign w:val="center"/>
          </w:tcPr>
          <w:p w14:paraId="34427BE1">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流行时间</w:t>
            </w:r>
          </w:p>
        </w:tc>
        <w:tc>
          <w:tcPr>
            <w:tcW w:w="4300" w:type="dxa"/>
            <w:vAlign w:val="center"/>
          </w:tcPr>
          <w:p w14:paraId="75972CCB">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主要内容</w:t>
            </w:r>
          </w:p>
        </w:tc>
      </w:tr>
      <w:tr w14:paraId="238B0F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20" w:hRule="atLeast"/>
        </w:trPr>
        <w:tc>
          <w:tcPr>
            <w:tcW w:w="1100" w:type="dxa"/>
            <w:vAlign w:val="center"/>
          </w:tcPr>
          <w:p w14:paraId="2E125218">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传统派</w:t>
            </w:r>
          </w:p>
        </w:tc>
        <w:tc>
          <w:tcPr>
            <w:tcW w:w="1720" w:type="dxa"/>
            <w:vAlign w:val="center"/>
          </w:tcPr>
          <w:p w14:paraId="0FE428B4">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20世纪50年代</w:t>
            </w:r>
          </w:p>
        </w:tc>
        <w:tc>
          <w:tcPr>
            <w:tcW w:w="4300" w:type="dxa"/>
            <w:vAlign w:val="center"/>
          </w:tcPr>
          <w:p w14:paraId="3EFA4DE5">
            <w:pPr>
              <w:wordWrap w:val="0"/>
              <w:spacing w:line="280" w:lineRule="atLeast"/>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苏联寻求世界霸权是导致冷战爆发的主要原因</w:t>
            </w:r>
          </w:p>
        </w:tc>
      </w:tr>
      <w:tr w14:paraId="2C2139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0" w:hRule="atLeast"/>
        </w:trPr>
        <w:tc>
          <w:tcPr>
            <w:tcW w:w="1100" w:type="dxa"/>
            <w:vAlign w:val="center"/>
          </w:tcPr>
          <w:p w14:paraId="28D01CA9">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修正派</w:t>
            </w:r>
          </w:p>
        </w:tc>
        <w:tc>
          <w:tcPr>
            <w:tcW w:w="1720" w:type="dxa"/>
            <w:vAlign w:val="center"/>
          </w:tcPr>
          <w:p w14:paraId="52E857A9">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20世纪60年代</w:t>
            </w:r>
          </w:p>
        </w:tc>
        <w:tc>
          <w:tcPr>
            <w:tcW w:w="4300" w:type="dxa"/>
            <w:vAlign w:val="center"/>
          </w:tcPr>
          <w:p w14:paraId="3677C72F">
            <w:pPr>
              <w:wordWrap w:val="0"/>
              <w:spacing w:line="280" w:lineRule="atLeast"/>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美国对苏联的政治、经济和军事压力是冷战爆发的重要原因</w:t>
            </w:r>
          </w:p>
        </w:tc>
      </w:tr>
      <w:tr w14:paraId="207CBB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20" w:hRule="atLeast"/>
        </w:trPr>
        <w:tc>
          <w:tcPr>
            <w:tcW w:w="1100" w:type="dxa"/>
            <w:vAlign w:val="center"/>
          </w:tcPr>
          <w:p w14:paraId="119F4584">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后修正派</w:t>
            </w:r>
          </w:p>
        </w:tc>
        <w:tc>
          <w:tcPr>
            <w:tcW w:w="1720" w:type="dxa"/>
            <w:vAlign w:val="center"/>
          </w:tcPr>
          <w:p w14:paraId="263AA1EF">
            <w:pPr>
              <w:wordWrap w:val="0"/>
              <w:spacing w:line="280" w:lineRule="atLeast"/>
              <w:jc w:val="center"/>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20世纪70年代</w:t>
            </w:r>
          </w:p>
        </w:tc>
        <w:tc>
          <w:tcPr>
            <w:tcW w:w="4300" w:type="dxa"/>
            <w:vAlign w:val="center"/>
          </w:tcPr>
          <w:p w14:paraId="32632484">
            <w:pPr>
              <w:wordWrap w:val="0"/>
              <w:spacing w:line="280" w:lineRule="atLeast"/>
              <w:textAlignment w:val="baseline"/>
              <w:rPr>
                <w:rFonts w:hint="default" w:ascii="Times New Roman" w:hAnsi="Times New Roman" w:cs="Times New Roman"/>
                <w:sz w:val="20"/>
                <w:szCs w:val="20"/>
              </w:rPr>
            </w:pPr>
            <w:r>
              <w:rPr>
                <w:rFonts w:hint="default" w:ascii="Times New Roman" w:hAnsi="Times New Roman" w:cs="Times New Roman"/>
                <w:color w:val="000000"/>
                <w:sz w:val="20"/>
                <w:szCs w:val="20"/>
              </w:rPr>
              <w:t>冷战是一系列失误和误解引起的，美苏双方对冷战的爆发都负有责任</w:t>
            </w:r>
          </w:p>
        </w:tc>
      </w:tr>
    </w:tbl>
    <w:p w14:paraId="6C3FD3F1">
      <w:pPr>
        <w:wordWrap w:val="0"/>
        <w:spacing w:line="480" w:lineRule="atLeast"/>
        <w:ind w:left="42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A.历史研究具有渐进性和复杂性          B.学派迭出不利于探究历史真相</w:t>
      </w:r>
    </w:p>
    <w:p w14:paraId="19643CD2">
      <w:pPr>
        <w:wordWrap w:val="0"/>
        <w:spacing w:line="480" w:lineRule="atLeast"/>
        <w:ind w:left="420"/>
        <w:textAlignment w:val="baseline"/>
        <w:rPr>
          <w:rFonts w:hint="default" w:ascii="Times New Roman" w:hAnsi="Times New Roman" w:cs="Times New Roman"/>
          <w:sz w:val="22"/>
          <w:szCs w:val="20"/>
        </w:rPr>
        <w:sectPr>
          <w:pgSz w:w="11900" w:h="16820"/>
          <w:pgMar w:top="700" w:right="1000" w:bottom="700" w:left="1000" w:header="720" w:footer="720" w:gutter="0"/>
          <w:cols w:space="720" w:num="1"/>
        </w:sectPr>
      </w:pPr>
      <w:r>
        <w:rPr>
          <w:rFonts w:hint="default" w:ascii="Times New Roman" w:hAnsi="Times New Roman" w:cs="Times New Roman"/>
          <w:color w:val="000000"/>
          <w:sz w:val="22"/>
          <w:szCs w:val="20"/>
        </w:rPr>
        <w:t>C.学术观点都能反映真实的历史           D.学者对冷战难以形成共性认识</w:t>
      </w:r>
    </w:p>
    <w:p w14:paraId="4C19C123">
      <w:pPr>
        <w:wordWrap w:val="0"/>
        <w:spacing w:line="520" w:lineRule="atLeast"/>
        <w:ind w:left="360" w:hanging="34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16.2018年，美国政府将伊朗从国际资金清算系统(SWIFT)中移除。随后，全球四大粮商被迫退出伊朗粮食交易市场，大量进口粮食囤积于波斯湾而难以进入伊朗国内市场。2019年，伊朗出现严重的粮食危机。这说明</w:t>
      </w:r>
    </w:p>
    <w:p w14:paraId="13134B10">
      <w:pPr>
        <w:wordWrap w:val="0"/>
        <w:spacing w:line="520" w:lineRule="atLeast"/>
        <w:ind w:left="26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A.伊朗农业落后致使粮食主要依赖进口     B.美国是破坏世界粮食安全的罪魁祸首</w:t>
      </w:r>
    </w:p>
    <w:p w14:paraId="66335524">
      <w:pPr>
        <w:wordWrap w:val="0"/>
        <w:spacing w:line="520" w:lineRule="atLeast"/>
        <w:ind w:left="26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C.保障世界粮食安全需要区域经济合作     D.经济制裁是美国维护霸权的重要手段</w:t>
      </w:r>
    </w:p>
    <w:p w14:paraId="5A5625FC">
      <w:pPr>
        <w:wordWrap w:val="0"/>
        <w:spacing w:line="340" w:lineRule="atLeast"/>
        <w:ind w:left="20"/>
        <w:textAlignment w:val="baseline"/>
        <w:rPr>
          <w:rFonts w:hint="default" w:ascii="Times New Roman" w:hAnsi="Times New Roman" w:cs="Times New Roman"/>
          <w:szCs w:val="20"/>
        </w:rPr>
      </w:pPr>
      <w:r>
        <w:rPr>
          <w:rFonts w:hint="default" w:ascii="Times New Roman" w:hAnsi="Times New Roman" w:cs="Times New Roman"/>
          <w:color w:val="000000"/>
          <w:szCs w:val="20"/>
        </w:rPr>
        <w:t>二、非选择题：本题共3 小题，共52分。</w:t>
      </w:r>
    </w:p>
    <w:p w14:paraId="35FC2192">
      <w:pPr>
        <w:wordWrap w:val="0"/>
        <w:spacing w:line="520" w:lineRule="atLeast"/>
        <w:ind w:left="2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17.阅读材料，完成下列要求。(25分)</w:t>
      </w:r>
    </w:p>
    <w:p w14:paraId="24A09C88">
      <w:pPr>
        <w:wordWrap w:val="0"/>
        <w:spacing w:line="520" w:lineRule="atLeast"/>
        <w:ind w:left="260" w:firstLine="60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材料一 气节是中华文化中对道德理想的一种坚守。这种坚守不是出于外力强制，而是个人的自觉自愿，是经过自由选择的行为。气节形成要靠个人在日常生活实践过程中自觉养成，有具体的社会历史内容，如忠、孝、仁、义等。气节一般只关乎那些重要的道德立场，即通常所谓的大是大非问题，也就是“道”。站在“道”的立场上，对之进行实践、捍卫和继承，就是道义。“大雪压青松，青松挺且直”“富贵不能淫，贫贱不能移，威武不能屈”，这就是气节。</w:t>
      </w:r>
    </w:p>
    <w:p w14:paraId="40A1D39D">
      <w:pPr>
        <w:wordWrap w:val="0"/>
        <w:spacing w:line="360" w:lineRule="atLeast"/>
        <w:ind w:right="40"/>
        <w:jc w:val="right"/>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——摘编自陈刚《论气节——中华气节观的意蕴、内涵与作用》</w:t>
      </w:r>
    </w:p>
    <w:p w14:paraId="1B400F72">
      <w:pPr>
        <w:wordWrap w:val="0"/>
        <w:spacing w:line="520" w:lineRule="atLeast"/>
        <w:ind w:left="260" w:right="20" w:firstLine="60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材料二 苏武爱国忠贞的节操不仅使其名著当时，且对后世产生深远影响。1935年，《复兴国语课本》整整用了5部分内容讲述苏武出使匈奴、持节不屈的故事。1936年，著名政治家和外交家郭泰祺文章中赞誉苏武，认为他“千古不能磨灭之大无畏精神，洵足以廉顽立懦，使百世之下，闻风兴起”，认为唯有发扬此种精神，方能使“民族精神复振，中国必不灭亡”。对于苏武牧羊乃至忠孝不能两全的遗憾，人们也进行新的诠释，认为苏武懂得“移孝作忠”“尽忠即尽孝”的大义，强调要融“小孝”于“大孝”，化“小孝”为“大孝”。</w:t>
      </w:r>
    </w:p>
    <w:p w14:paraId="039D40FD">
      <w:pPr>
        <w:wordWrap w:val="0"/>
        <w:spacing w:line="520" w:lineRule="atLeast"/>
        <w:ind w:left="82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—摘编自周游《忠奸之辨：抗战时期中国人对苏武、李陵“气节”问题的认识与运用》</w:t>
      </w:r>
    </w:p>
    <w:p w14:paraId="42D2E2B5">
      <w:pPr>
        <w:wordWrap w:val="0"/>
        <w:spacing w:line="520" w:lineRule="atLeast"/>
        <w:ind w:left="260" w:right="100" w:firstLine="60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材料三 一个有风骨和气节的人，自然就有强大的胆魄，既让人敬仰，又让人敬重。同样，一个国家、一个民族有了风骨、气节，才会有一身铮铮铁骨的胆魄，才能始终保持强大的民族自尊心、国家自豪感、社会凝聚力。</w:t>
      </w:r>
    </w:p>
    <w:p w14:paraId="2F500775">
      <w:pPr>
        <w:wordWrap w:val="0"/>
        <w:spacing w:line="520" w:lineRule="atLeast"/>
        <w:ind w:right="140"/>
        <w:jc w:val="right"/>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——摘编自顾伯冲《风骨气节 胆魄》</w:t>
      </w:r>
    </w:p>
    <w:p w14:paraId="2D1CD6BB">
      <w:pPr>
        <w:wordWrap w:val="0"/>
        <w:spacing w:line="520" w:lineRule="atLeast"/>
        <w:ind w:left="260"/>
        <w:textAlignment w:val="baseline"/>
        <w:rPr>
          <w:rFonts w:hint="default" w:ascii="Times New Roman" w:hAnsi="Times New Roman" w:cs="Times New Roman"/>
          <w:sz w:val="22"/>
          <w:szCs w:val="20"/>
        </w:rPr>
        <w:sectPr>
          <w:pgSz w:w="11900" w:h="16820"/>
          <w:pgMar w:top="820" w:right="700" w:bottom="820" w:left="700" w:header="720" w:footer="720" w:gutter="0"/>
          <w:cols w:space="720" w:num="1"/>
        </w:sectPr>
      </w:pPr>
      <w:r>
        <w:rPr>
          <w:rFonts w:hint="default" w:ascii="Times New Roman" w:hAnsi="Times New Roman" w:cs="Times New Roman"/>
          <w:color w:val="000000"/>
          <w:sz w:val="22"/>
          <w:szCs w:val="20"/>
        </w:rPr>
        <w:t>(1)根据材料一，概括中国古代气节观的特征。(6分)</w:t>
      </w:r>
    </w:p>
    <w:p w14:paraId="680424EE">
      <w:pPr>
        <w:wordWrap w:val="0"/>
        <w:spacing w:line="540" w:lineRule="atLeast"/>
        <w:ind w:left="780" w:hanging="460"/>
        <w:textAlignment w:val="baseline"/>
        <w:rPr>
          <w:rFonts w:hint="default" w:ascii="Times New Roman" w:hAnsi="Times New Roman" w:cs="Times New Roman"/>
          <w:szCs w:val="20"/>
        </w:rPr>
      </w:pPr>
      <w:r>
        <w:rPr>
          <w:rFonts w:hint="default" w:ascii="Times New Roman" w:hAnsi="Times New Roman" w:cs="Times New Roman"/>
          <w:color w:val="000000"/>
          <w:szCs w:val="20"/>
        </w:rPr>
        <w:t>：(2)根据材料二并结合所学知识，概括抗战时期中国人对苏武的认识，并分析这些认识流行的背景。(12分)</w:t>
      </w:r>
    </w:p>
    <w:p w14:paraId="02099CBA">
      <w:pPr>
        <w:wordWrap w:val="0"/>
        <w:spacing w:line="540" w:lineRule="exact"/>
        <w:textAlignment w:val="baseline"/>
        <w:rPr>
          <w:rFonts w:hint="default" w:ascii="Times New Roman" w:hAnsi="Times New Roman" w:cs="Times New Roman"/>
          <w:szCs w:val="20"/>
        </w:rPr>
      </w:pPr>
    </w:p>
    <w:p w14:paraId="45CE2C04">
      <w:pPr>
        <w:wordWrap w:val="0"/>
        <w:spacing w:line="540" w:lineRule="exact"/>
        <w:textAlignment w:val="baseline"/>
        <w:rPr>
          <w:rFonts w:hint="default" w:ascii="Times New Roman" w:hAnsi="Times New Roman" w:cs="Times New Roman"/>
          <w:szCs w:val="20"/>
        </w:rPr>
      </w:pPr>
    </w:p>
    <w:p w14:paraId="117B61E3">
      <w:pPr>
        <w:wordWrap w:val="0"/>
        <w:spacing w:line="540" w:lineRule="exact"/>
        <w:textAlignment w:val="baseline"/>
        <w:rPr>
          <w:rFonts w:hint="default" w:ascii="Times New Roman" w:hAnsi="Times New Roman" w:cs="Times New Roman"/>
          <w:szCs w:val="20"/>
        </w:rPr>
      </w:pPr>
    </w:p>
    <w:p w14:paraId="4566F012">
      <w:pPr>
        <w:wordWrap w:val="0"/>
        <w:spacing w:line="540" w:lineRule="exact"/>
        <w:textAlignment w:val="baseline"/>
        <w:rPr>
          <w:rFonts w:hint="default" w:ascii="Times New Roman" w:hAnsi="Times New Roman" w:cs="Times New Roman"/>
          <w:szCs w:val="20"/>
        </w:rPr>
      </w:pPr>
    </w:p>
    <w:p w14:paraId="1914BBA2">
      <w:pPr>
        <w:wordWrap w:val="0"/>
        <w:spacing w:line="540" w:lineRule="exact"/>
        <w:textAlignment w:val="baseline"/>
        <w:rPr>
          <w:rFonts w:hint="default" w:ascii="Times New Roman" w:hAnsi="Times New Roman" w:cs="Times New Roman"/>
          <w:szCs w:val="20"/>
        </w:rPr>
      </w:pPr>
    </w:p>
    <w:p w14:paraId="4B6EE834">
      <w:pPr>
        <w:wordWrap w:val="0"/>
        <w:spacing w:line="540" w:lineRule="exact"/>
        <w:textAlignment w:val="baseline"/>
        <w:rPr>
          <w:rFonts w:hint="default" w:ascii="Times New Roman" w:hAnsi="Times New Roman" w:cs="Times New Roman"/>
          <w:szCs w:val="20"/>
        </w:rPr>
      </w:pPr>
    </w:p>
    <w:p w14:paraId="78CEEF20">
      <w:pPr>
        <w:wordWrap w:val="0"/>
        <w:spacing w:line="540" w:lineRule="exact"/>
        <w:textAlignment w:val="baseline"/>
        <w:rPr>
          <w:rFonts w:hint="default" w:ascii="Times New Roman" w:hAnsi="Times New Roman" w:cs="Times New Roman"/>
          <w:szCs w:val="20"/>
        </w:rPr>
      </w:pPr>
    </w:p>
    <w:p w14:paraId="35B88F78">
      <w:pPr>
        <w:wordWrap w:val="0"/>
        <w:spacing w:line="540" w:lineRule="exact"/>
        <w:textAlignment w:val="baseline"/>
        <w:rPr>
          <w:rFonts w:hint="default" w:ascii="Times New Roman" w:hAnsi="Times New Roman" w:cs="Times New Roman"/>
          <w:szCs w:val="20"/>
        </w:rPr>
      </w:pPr>
    </w:p>
    <w:p w14:paraId="0464B75A">
      <w:pPr>
        <w:wordWrap w:val="0"/>
        <w:spacing w:line="540" w:lineRule="exact"/>
        <w:textAlignment w:val="baseline"/>
        <w:rPr>
          <w:rFonts w:hint="default" w:ascii="Times New Roman" w:hAnsi="Times New Roman" w:cs="Times New Roman"/>
          <w:szCs w:val="20"/>
        </w:rPr>
      </w:pPr>
    </w:p>
    <w:p w14:paraId="26DAB97C">
      <w:pPr>
        <w:wordWrap w:val="0"/>
        <w:spacing w:line="540" w:lineRule="atLeast"/>
        <w:ind w:left="320" w:firstLine="400"/>
        <w:textAlignment w:val="baseline"/>
        <w:rPr>
          <w:rFonts w:hint="default" w:ascii="Times New Roman" w:hAnsi="Times New Roman" w:cs="Times New Roman"/>
          <w:szCs w:val="20"/>
        </w:rPr>
      </w:pPr>
      <w:r>
        <w:rPr>
          <w:rFonts w:hint="default" w:ascii="Times New Roman" w:hAnsi="Times New Roman" w:cs="Times New Roman"/>
          <w:color w:val="000000"/>
          <w:szCs w:val="20"/>
        </w:rPr>
        <w:t>(3)根据材料一、二、三并结合所学知识，分析气节观的历史价值。(7分)</w:t>
      </w:r>
    </w:p>
    <w:p w14:paraId="300A8FF5">
      <w:pPr>
        <w:wordWrap w:val="0"/>
        <w:spacing w:line="540" w:lineRule="exact"/>
        <w:textAlignment w:val="baseline"/>
        <w:rPr>
          <w:rFonts w:hint="default" w:ascii="Times New Roman" w:hAnsi="Times New Roman" w:cs="Times New Roman"/>
          <w:szCs w:val="20"/>
        </w:rPr>
      </w:pPr>
    </w:p>
    <w:p w14:paraId="20416F8A">
      <w:pPr>
        <w:wordWrap w:val="0"/>
        <w:spacing w:line="540" w:lineRule="exact"/>
        <w:textAlignment w:val="baseline"/>
        <w:rPr>
          <w:rFonts w:hint="default" w:ascii="Times New Roman" w:hAnsi="Times New Roman" w:cs="Times New Roman"/>
          <w:szCs w:val="20"/>
        </w:rPr>
      </w:pPr>
    </w:p>
    <w:p w14:paraId="0960CA31">
      <w:pPr>
        <w:wordWrap w:val="0"/>
        <w:spacing w:line="540" w:lineRule="exact"/>
        <w:textAlignment w:val="baseline"/>
        <w:rPr>
          <w:rFonts w:hint="default" w:ascii="Times New Roman" w:hAnsi="Times New Roman" w:cs="Times New Roman"/>
          <w:szCs w:val="20"/>
        </w:rPr>
      </w:pPr>
    </w:p>
    <w:p w14:paraId="61397119">
      <w:pPr>
        <w:wordWrap w:val="0"/>
        <w:spacing w:line="540" w:lineRule="exact"/>
        <w:textAlignment w:val="baseline"/>
        <w:rPr>
          <w:rFonts w:hint="default" w:ascii="Times New Roman" w:hAnsi="Times New Roman" w:cs="Times New Roman"/>
          <w:szCs w:val="20"/>
        </w:rPr>
      </w:pPr>
    </w:p>
    <w:p w14:paraId="73B4A7DE">
      <w:pPr>
        <w:wordWrap w:val="0"/>
        <w:spacing w:line="540" w:lineRule="exact"/>
        <w:textAlignment w:val="baseline"/>
        <w:rPr>
          <w:rFonts w:hint="default" w:ascii="Times New Roman" w:hAnsi="Times New Roman" w:cs="Times New Roman"/>
          <w:szCs w:val="20"/>
        </w:rPr>
      </w:pPr>
    </w:p>
    <w:p w14:paraId="7498DD0A">
      <w:pPr>
        <w:wordWrap w:val="0"/>
        <w:spacing w:line="540" w:lineRule="exact"/>
        <w:textAlignment w:val="baseline"/>
        <w:rPr>
          <w:rFonts w:hint="default" w:ascii="Times New Roman" w:hAnsi="Times New Roman" w:cs="Times New Roman"/>
          <w:szCs w:val="20"/>
        </w:rPr>
      </w:pPr>
    </w:p>
    <w:p w14:paraId="2764D054">
      <w:pPr>
        <w:wordWrap w:val="0"/>
        <w:spacing w:line="540" w:lineRule="exact"/>
        <w:textAlignment w:val="baseline"/>
        <w:rPr>
          <w:rFonts w:hint="default" w:ascii="Times New Roman" w:hAnsi="Times New Roman" w:cs="Times New Roman"/>
          <w:szCs w:val="20"/>
        </w:rPr>
      </w:pPr>
    </w:p>
    <w:p w14:paraId="6198FE8E">
      <w:pPr>
        <w:wordWrap w:val="0"/>
        <w:spacing w:line="540" w:lineRule="exact"/>
        <w:textAlignment w:val="baseline"/>
        <w:rPr>
          <w:rFonts w:hint="default" w:ascii="Times New Roman" w:hAnsi="Times New Roman" w:cs="Times New Roman"/>
          <w:szCs w:val="20"/>
        </w:rPr>
      </w:pPr>
    </w:p>
    <w:p w14:paraId="456A77D6">
      <w:pPr>
        <w:wordWrap w:val="0"/>
        <w:spacing w:line="540" w:lineRule="exact"/>
        <w:textAlignment w:val="baseline"/>
        <w:rPr>
          <w:rFonts w:hint="default" w:ascii="Times New Roman" w:hAnsi="Times New Roman" w:cs="Times New Roman"/>
          <w:szCs w:val="20"/>
        </w:rPr>
      </w:pPr>
    </w:p>
    <w:p w14:paraId="208415F3">
      <w:pPr>
        <w:wordWrap w:val="0"/>
        <w:spacing w:line="540" w:lineRule="atLeast"/>
        <w:textAlignment w:val="baseline"/>
        <w:rPr>
          <w:rFonts w:hint="default" w:ascii="Times New Roman" w:hAnsi="Times New Roman" w:cs="Times New Roman"/>
          <w:szCs w:val="20"/>
        </w:rPr>
      </w:pPr>
      <w:r>
        <w:rPr>
          <w:rFonts w:hint="default" w:ascii="Times New Roman" w:hAnsi="Times New Roman" w:cs="Times New Roman"/>
          <w:color w:val="000000"/>
          <w:szCs w:val="20"/>
        </w:rPr>
        <w:t>18.阅读材料，完成下列要求。(15分)</w:t>
      </w:r>
    </w:p>
    <w:p w14:paraId="128DE32A">
      <w:pPr>
        <w:wordWrap w:val="0"/>
        <w:spacing w:line="540" w:lineRule="atLeast"/>
        <w:ind w:left="320" w:right="60" w:firstLine="400"/>
        <w:textAlignment w:val="baseline"/>
        <w:rPr>
          <w:rFonts w:hint="default" w:ascii="Times New Roman" w:hAnsi="Times New Roman" w:cs="Times New Roman"/>
          <w:szCs w:val="20"/>
        </w:rPr>
        <w:sectPr>
          <w:pgSz w:w="11900" w:h="16820"/>
          <w:pgMar w:top="700" w:right="1160" w:bottom="700" w:left="1160" w:header="720" w:footer="720" w:gutter="0"/>
          <w:cols w:space="720" w:num="1"/>
        </w:sectPr>
      </w:pPr>
      <w:r>
        <w:rPr>
          <w:rFonts w:hint="default" w:ascii="Times New Roman" w:hAnsi="Times New Roman" w:cs="Times New Roman"/>
          <w:color w:val="000000"/>
          <w:szCs w:val="20"/>
        </w:rPr>
        <w:t>材料 在17世纪之前，世界各地几乎没有路灯。文艺复兴时期的佛罗伦萨没有路灯，罗马帝国也没有。在光线如此匮乏也禁不起挥霍的时代，任何出现在夜晚的大量照明都蕴含着特殊内涵。在火灾或冲突期间，市政官员会要求市民集结他们的灯和蜡烛作为防御或消防的辅助照明。当皇室抵达某座城市时，当地人经常会在街道、屋顶或者篝火上点起火炬来迎接贵客。教会也用火光标记出圣日，在教堂中近乎挥霍地使用着光。</w:t>
      </w:r>
    </w:p>
    <w:p w14:paraId="7F2E0522">
      <w:pPr>
        <w:wordWrap w:val="0"/>
        <w:spacing w:line="640" w:lineRule="atLeast"/>
        <w:ind w:left="360" w:hanging="36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端只为19、20世纪之交，多数人仍在使用古老光源来照明，但在未来几十年内，煤气灯、安全火柴、电弧灯、煤油、爱迪生的白炽灯泡和特斯拉的交流电即将登场。它们之间的彼此竞争会使社会分层化，更强化了乡村和城市、家庭和工业的分野。“在一般家庭生活中，我们谈论发电机、马达、电车、电灯、电话和电池，就像我们讲到面包、奶油、肉品、牛奶、冰块、煤炭和地毯那般自如。”当然，没有人看到星星，因为城市的夜晚光辉太过灿烂，盖过了星光。</w:t>
      </w:r>
    </w:p>
    <w:p w14:paraId="2387D780">
      <w:pPr>
        <w:wordWrap w:val="0"/>
        <w:spacing w:line="380" w:lineRule="atLeast"/>
        <w:jc w:val="right"/>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——摘编自[美]珍·布罗克斯《光明的追求》</w:t>
      </w:r>
    </w:p>
    <w:p w14:paraId="2D62FD94">
      <w:pPr>
        <w:wordWrap w:val="0"/>
        <w:spacing w:line="640" w:lineRule="atLeast"/>
        <w:ind w:firstLine="36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(1)根据材料，概括17世纪以前欧洲夜晚大规模照明的特殊内涵。(6分)</w:t>
      </w:r>
    </w:p>
    <w:p w14:paraId="49A6D375">
      <w:pPr>
        <w:wordWrap w:val="0"/>
        <w:spacing w:line="640" w:lineRule="exact"/>
        <w:textAlignment w:val="baseline"/>
        <w:rPr>
          <w:rFonts w:hint="default" w:ascii="Times New Roman" w:hAnsi="Times New Roman" w:cs="Times New Roman"/>
          <w:sz w:val="22"/>
          <w:szCs w:val="20"/>
        </w:rPr>
      </w:pPr>
    </w:p>
    <w:p w14:paraId="200B0E4A">
      <w:pPr>
        <w:wordWrap w:val="0"/>
        <w:spacing w:line="640" w:lineRule="exact"/>
        <w:textAlignment w:val="baseline"/>
        <w:rPr>
          <w:rFonts w:hint="default" w:ascii="Times New Roman" w:hAnsi="Times New Roman" w:cs="Times New Roman"/>
          <w:sz w:val="22"/>
          <w:szCs w:val="20"/>
        </w:rPr>
      </w:pPr>
    </w:p>
    <w:p w14:paraId="632FFE1A">
      <w:pPr>
        <w:wordWrap w:val="0"/>
        <w:spacing w:line="640" w:lineRule="exact"/>
        <w:textAlignment w:val="baseline"/>
        <w:rPr>
          <w:rFonts w:hint="default" w:ascii="Times New Roman" w:hAnsi="Times New Roman" w:cs="Times New Roman"/>
          <w:sz w:val="22"/>
          <w:szCs w:val="20"/>
        </w:rPr>
      </w:pPr>
    </w:p>
    <w:p w14:paraId="433427C0">
      <w:pPr>
        <w:wordWrap w:val="0"/>
        <w:spacing w:line="640" w:lineRule="exact"/>
        <w:textAlignment w:val="baseline"/>
        <w:rPr>
          <w:rFonts w:hint="default" w:ascii="Times New Roman" w:hAnsi="Times New Roman" w:cs="Times New Roman"/>
          <w:sz w:val="22"/>
          <w:szCs w:val="20"/>
        </w:rPr>
      </w:pPr>
    </w:p>
    <w:p w14:paraId="42E5D7B4">
      <w:pPr>
        <w:wordWrap w:val="0"/>
        <w:spacing w:line="640" w:lineRule="exact"/>
        <w:textAlignment w:val="baseline"/>
        <w:rPr>
          <w:rFonts w:hint="default" w:ascii="Times New Roman" w:hAnsi="Times New Roman" w:cs="Times New Roman"/>
          <w:sz w:val="22"/>
          <w:szCs w:val="20"/>
        </w:rPr>
      </w:pPr>
    </w:p>
    <w:p w14:paraId="0690DDE6">
      <w:pPr>
        <w:wordWrap w:val="0"/>
        <w:spacing w:line="640" w:lineRule="exact"/>
        <w:textAlignment w:val="baseline"/>
        <w:rPr>
          <w:rFonts w:hint="default" w:ascii="Times New Roman" w:hAnsi="Times New Roman" w:cs="Times New Roman"/>
          <w:sz w:val="22"/>
          <w:szCs w:val="20"/>
        </w:rPr>
      </w:pPr>
    </w:p>
    <w:p w14:paraId="7E9D7B4C">
      <w:pPr>
        <w:wordWrap w:val="0"/>
        <w:spacing w:line="640" w:lineRule="exact"/>
        <w:textAlignment w:val="baseline"/>
        <w:rPr>
          <w:rFonts w:hint="default" w:ascii="Times New Roman" w:hAnsi="Times New Roman" w:cs="Times New Roman"/>
          <w:sz w:val="22"/>
          <w:szCs w:val="20"/>
        </w:rPr>
      </w:pPr>
    </w:p>
    <w:p w14:paraId="7A8FFC08">
      <w:pPr>
        <w:wordWrap w:val="0"/>
        <w:spacing w:line="640" w:lineRule="exact"/>
        <w:textAlignment w:val="baseline"/>
        <w:rPr>
          <w:rFonts w:hint="default" w:ascii="Times New Roman" w:hAnsi="Times New Roman" w:cs="Times New Roman"/>
          <w:sz w:val="22"/>
          <w:szCs w:val="20"/>
        </w:rPr>
      </w:pPr>
    </w:p>
    <w:p w14:paraId="3385C83D">
      <w:pPr>
        <w:wordWrap w:val="0"/>
        <w:spacing w:line="640" w:lineRule="atLeast"/>
        <w:ind w:left="320" w:right="180" w:hanging="320"/>
        <w:textAlignment w:val="baseline"/>
        <w:rPr>
          <w:rFonts w:hint="default" w:ascii="Times New Roman" w:hAnsi="Times New Roman" w:cs="Times New Roman"/>
          <w:sz w:val="22"/>
          <w:szCs w:val="20"/>
        </w:rPr>
        <w:sectPr>
          <w:pgSz w:w="11900" w:h="16820"/>
          <w:pgMar w:top="1260" w:right="740" w:bottom="1260" w:left="740" w:header="720" w:footer="720" w:gutter="0"/>
          <w:cols w:space="720" w:num="1"/>
        </w:sectPr>
      </w:pPr>
      <w:r>
        <w:rPr>
          <w:rFonts w:hint="default" w:ascii="Times New Roman" w:hAnsi="Times New Roman" w:cs="Times New Roman"/>
          <w:color w:val="000000"/>
          <w:sz w:val="22"/>
          <w:szCs w:val="20"/>
        </w:rPr>
        <w:t>(2)根据材料并结合所学知识，概括近代以来人类照明发展的主要推动因素，并简要说明其影响。(9分)</w:t>
      </w:r>
    </w:p>
    <w:p w14:paraId="146C0360">
      <w:pPr>
        <w:wordWrap w:val="0"/>
        <w:spacing w:before="40" w:line="620" w:lineRule="atLeast"/>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阅读材料，完成下列要求。(12分)</w:t>
      </w:r>
    </w:p>
    <w:p w14:paraId="0ECA25CA">
      <w:pPr>
        <w:wordWrap w:val="0"/>
        <w:spacing w:line="620" w:lineRule="atLeast"/>
        <w:ind w:firstLine="118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材料 国家治理有两套互补秩序：一套是自觉治理秩序，即有为而治；另一套是自发治理秩序，即无为而治。国家运行的整体性知识对于决策者来说是可知的，决策者能够依据整体性知识进行顶层设计，推进自觉之治，与此同时，更多的是对于决策者而言不可知的分散知识，这就需要依靠分散主体自主决策的自发之治。自觉之治蕴含着不自觉因素，自发之治同样也蕴含着追求自觉的因素，自觉之治和自发之治两者有机结合，形成更为有效的治理模式和治理秩序。</w:t>
      </w:r>
    </w:p>
    <w:p w14:paraId="7C185FED">
      <w:pPr>
        <w:wordWrap w:val="0"/>
        <w:spacing w:line="620" w:lineRule="atLeast"/>
        <w:ind w:firstLine="1180"/>
        <w:textAlignment w:val="baseline"/>
        <w:rPr>
          <w:rFonts w:hint="default" w:ascii="Times New Roman" w:hAnsi="Times New Roman" w:cs="Times New Roman"/>
          <w:sz w:val="22"/>
          <w:szCs w:val="20"/>
        </w:rPr>
      </w:pPr>
      <w:r>
        <w:rPr>
          <w:rFonts w:hint="default" w:ascii="Times New Roman" w:hAnsi="Times New Roman" w:cs="Times New Roman"/>
          <w:color w:val="000000"/>
          <w:sz w:val="22"/>
          <w:szCs w:val="20"/>
        </w:rPr>
        <w:t>——摘编自鄢一龙、胡鞍钢《中国式国家治理现代化研究：一组概念框架》根据材料并结合中国古代史的相关知识，选取国家治理的任一秩序或两套秩序，拟定一个论题，并予以阐释。(要求：论题明确，史论结合，逻辑严谨，表述清晰)</w:t>
      </w:r>
      <w:bookmarkStart w:id="0" w:name="_GoBack"/>
      <w:bookmarkEnd w:id="0"/>
    </w:p>
    <w:sectPr>
      <w:headerReference r:id="rId3" w:type="default"/>
      <w:footerReference r:id="rId4" w:type="default"/>
      <w:pgSz w:w="11900" w:h="16820"/>
      <w:pgMar w:top="1420" w:right="760" w:bottom="1420" w:left="76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A3CDE">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8D364">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DFE"/>
    <w:rsid w:val="00067DFE"/>
    <w:rsid w:val="004151FC"/>
    <w:rsid w:val="009D1865"/>
    <w:rsid w:val="00C02FC6"/>
    <w:rsid w:val="623605D5"/>
    <w:rsid w:val="72DF6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kern w:val="0"/>
      <w:sz w:val="18"/>
      <w:szCs w:val="18"/>
    </w:rPr>
  </w:style>
  <w:style w:type="character" w:customStyle="1" w:styleId="7">
    <w:name w:val="页脚 Char"/>
    <w:link w:val="2"/>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4199</Words>
  <Characters>4463</Characters>
  <Lines>36</Lines>
  <Paragraphs>10</Paragraphs>
  <TotalTime>3</TotalTime>
  <ScaleCrop>false</ScaleCrop>
  <LinksUpToDate>false</LinksUpToDate>
  <CharactersWithSpaces>4927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2025-03-06T09:20:00Z</dcterms:created>
  <dc:creator>何京应</dc:creator>
  <cp:lastModifiedBy>何京应</cp:lastModifiedBy>
  <dcterms:modified xsi:type="dcterms:W3CDTF">2025-03-10T03:37:54Z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2052-12.1.0.19770</vt:lpwstr>
  </property>
  <property fmtid="{D5CDD505-2E9C-101B-9397-08002B2CF9AE}" pid="4" name="ICV">
    <vt:lpwstr>04A73509768B41C280759B8D117E90A8_12</vt:lpwstr>
  </property>
</Properties>
</file>